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Style w:val="af8"/>
        <w:tblW w:w="0" w:type="auto"/>
        <w:tblLayout w:type="fixed"/>
        <w:tblLook w:val="04A0" w:firstRow="1" w:lastRow="0" w:firstColumn="1" w:lastColumn="0" w:noHBand="0" w:noVBand="1"/>
      </w:tblPr>
      <w:tblGrid>
        <w:gridCol w:w="2451"/>
        <w:gridCol w:w="2193"/>
        <w:gridCol w:w="4927"/>
      </w:tblGrid>
      <w:tr>
        <w:tc>
          <w:tcPr>
            <w:tcW w:w="9571" w:type="dxa"/>
            <w:gridSpan w:val="3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Уроки, извлеченные из аварии</w:t>
            </w:r>
          </w:p>
        </w:tc>
      </w:tr>
      <w:tr>
        <w:tc>
          <w:tcPr>
            <w:tcW w:w="2451" w:type="dxa"/>
          </w:tcPr>
          <w:p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Дата происшествия:</w:t>
            </w:r>
          </w:p>
        </w:tc>
        <w:tc>
          <w:tcPr>
            <w:tcW w:w="2193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03 августа 2024 года</w:t>
            </w:r>
          </w:p>
        </w:tc>
        <w:tc>
          <w:tcPr>
            <w:tcW w:w="4927" w:type="dxa"/>
            <w:vMerge w:val="restart"/>
          </w:tcPr>
          <w:p>
            <w:pPr>
              <w:pStyle w:val="af9"/>
              <w:tabs>
                <w:tab w:val="left" w:pos="284"/>
              </w:tabs>
              <w:ind w:left="205" w:firstLine="362"/>
              <w:jc w:val="both"/>
            </w:pPr>
            <w:r>
              <w:rPr>
                <w:rFonts w:ascii="Times New Roman" w:hAnsi="Times New Roman" w:cs="Times New Roman"/>
              </w:rPr>
              <w:t xml:space="preserve">03.08.2024 в результате интенсивных дождей за двое суток (со второй половины дня 01 августа – в ночь 03 августа) количество осадков составило 120 мм – 146 % от месячной нормы (письмо Бурятского ЦГМС от 13.08.2024 г. №318-01/1910), около 15:00-16:00 </w:t>
            </w:r>
            <w:r>
              <w:rPr>
                <w:rFonts w:ascii="Times New Roman" w:hAnsi="Times New Roman" w:cs="Times New Roman"/>
              </w:rPr>
              <w:t xml:space="preserve">МСК</w:t>
            </w:r>
            <w:r>
              <w:rPr>
                <w:rFonts w:ascii="Times New Roman" w:hAnsi="Times New Roman" w:cs="Times New Roman"/>
              </w:rPr>
              <w:t xml:space="preserve"> на </w:t>
            </w:r>
            <w:r>
              <w:rPr>
                <w:rFonts w:ascii="Times New Roman" w:hAnsi="Times New Roman" w:cs="Times New Roman"/>
              </w:rPr>
              <w:t xml:space="preserve">объекте «ГТС водохранилище на реке </w:t>
            </w:r>
            <w:r>
              <w:rPr>
                <w:rFonts w:ascii="Times New Roman" w:hAnsi="Times New Roman" w:cs="Times New Roman"/>
              </w:rPr>
              <w:t xml:space="preserve">Хонхолойка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Мухоршибирского</w:t>
            </w:r>
            <w:r>
              <w:rPr>
                <w:rFonts w:ascii="Times New Roman" w:hAnsi="Times New Roman" w:cs="Times New Roman"/>
              </w:rPr>
              <w:t xml:space="preserve"> района Республики Бурятия» (далее - ГТС) произошел перелив через гребень земляной  плотины, в </w:t>
            </w:r>
            <w:r>
              <w:rPr>
                <w:rFonts w:ascii="Times New Roman" w:hAnsi="Times New Roman" w:cs="Times New Roman"/>
              </w:rPr>
              <w:t xml:space="preserve">дальнейшем</w:t>
            </w:r>
            <w:r>
              <w:rPr>
                <w:rFonts w:ascii="Times New Roman" w:hAnsi="Times New Roman" w:cs="Times New Roman"/>
              </w:rPr>
              <w:t xml:space="preserve"> происходит неконтролируемый перелив воды через гребень плотины, с размыванием откоса нижн</w:t>
            </w:r>
            <w:r>
              <w:rPr>
                <w:rFonts w:ascii="Times New Roman" w:hAnsi="Times New Roman" w:cs="Times New Roman"/>
              </w:rPr>
              <w:t xml:space="preserve">его бьефа и в дальнейшем ее размыв до отметок дна русла. Населённые пункты в зоне затопления при аварии на ГТС не попадают.  </w:t>
            </w:r>
          </w:p>
          <w:p>
            <w:pPr>
              <w:pStyle w:val="af9"/>
              <w:tabs>
                <w:tab w:val="left" w:pos="284"/>
              </w:tabs>
              <w:ind w:left="205" w:firstLine="362"/>
              <w:jc w:val="both"/>
            </w:pPr>
            <w:r>
              <w:rPr>
                <w:rFonts w:ascii="Times New Roman" w:hAnsi="Times New Roman" w:cs="Times New Roman"/>
              </w:rPr>
              <w:t xml:space="preserve">Авария, согласно расчету вероятного вреда, который может быть причинён жизни, здоровью физических лиц, имуществу физических и юрид</w:t>
            </w:r>
            <w:r>
              <w:rPr>
                <w:rFonts w:ascii="Times New Roman" w:hAnsi="Times New Roman" w:cs="Times New Roman"/>
              </w:rPr>
              <w:t xml:space="preserve">ических лиц в результате аварии, произошла по сценарию №1 – наиболее тяжёлому. Водовыпускные сооружения находятся в работоспособном состоянии и функционируют в проектных режимах. </w:t>
            </w:r>
          </w:p>
          <w:p>
            <w:pPr>
              <w:pStyle w:val="af9"/>
              <w:tabs>
                <w:tab w:val="left" w:pos="284"/>
              </w:tabs>
              <w:ind w:left="205" w:firstLine="362"/>
              <w:jc w:val="both"/>
            </w:pPr>
            <w:r>
              <w:rPr>
                <w:rFonts w:ascii="Times New Roman" w:hAnsi="Times New Roman" w:cs="Times New Roman"/>
              </w:rPr>
              <w:t xml:space="preserve">При рассмотрении видеоматериалов во время перелива видно, что гребень плотин</w:t>
            </w:r>
            <w:r>
              <w:rPr>
                <w:rFonts w:ascii="Times New Roman" w:hAnsi="Times New Roman" w:cs="Times New Roman"/>
              </w:rPr>
              <w:t xml:space="preserve">ы без просадок, фильтрация отсутствует.</w:t>
            </w:r>
          </w:p>
          <w:p>
            <w:pPr>
              <w:pStyle w:val="af9"/>
              <w:tabs>
                <w:tab w:val="left" w:pos="284"/>
              </w:tabs>
              <w:ind w:left="205" w:firstLine="362"/>
              <w:jc w:val="both"/>
            </w:pPr>
            <w:r>
              <w:rPr>
                <w:rFonts w:ascii="Times New Roman" w:hAnsi="Times New Roman" w:cs="Times New Roman"/>
              </w:rPr>
              <w:t xml:space="preserve">Комиссией в ходе проведения проверки водовыпускного сооружения установлено его работоспособное состояние.</w:t>
            </w:r>
          </w:p>
          <w:p>
            <w:pPr>
              <w:pStyle w:val="af9"/>
              <w:tabs>
                <w:tab w:val="left" w:pos="284"/>
              </w:tabs>
              <w:ind w:left="205" w:firstLine="36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Оперативное сообщение об аварии направлено в соответствующие органы в течени</w:t>
            </w:r>
            <w:r>
              <w:rPr>
                <w:rFonts w:ascii="Times New Roman" w:hAnsi="Times New Roman" w:cs="Times New Roman"/>
              </w:rPr>
              <w:t xml:space="preserve">и</w:t>
            </w:r>
            <w:r>
              <w:rPr>
                <w:rFonts w:ascii="Times New Roman" w:hAnsi="Times New Roman" w:cs="Times New Roman"/>
              </w:rPr>
              <w:t xml:space="preserve"> 24 часов.</w:t>
            </w:r>
          </w:p>
          <w:p>
            <w:pPr>
              <w:pStyle w:val="af9"/>
              <w:tabs>
                <w:tab w:val="left" w:pos="284"/>
              </w:tabs>
              <w:ind w:left="205" w:firstLine="36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о восстановлен</w:t>
            </w:r>
            <w:r>
              <w:rPr>
                <w:rFonts w:ascii="Times New Roman" w:hAnsi="Times New Roman" w:cs="Times New Roman"/>
              </w:rPr>
              <w:t xml:space="preserve">ии, ликвидации или консервации ГТС будет принято по итогам совещания в Министерстве сельского хозяйства Российской Федерации, на котором будет определяться экономическая эффективность данного сооружения.</w:t>
            </w:r>
          </w:p>
          <w:p>
            <w:pPr>
              <w:pStyle w:val="af9"/>
              <w:tabs>
                <w:tab w:val="left" w:pos="284"/>
              </w:tabs>
              <w:ind w:left="20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>
            <w:pPr>
              <w:pStyle w:val="af9"/>
              <w:tabs>
                <w:tab w:val="left" w:pos="284"/>
              </w:tabs>
              <w:ind w:left="205"/>
              <w:jc w:val="both"/>
              <w:rPr>
                <w:rFonts w:ascii="Times New Roman" w:hAnsi="Times New Roman" w:cs="Times New Roman"/>
              </w:rPr>
            </w:pPr>
          </w:p>
          <w:p>
            <w:pPr>
              <w:pStyle w:val="af9"/>
              <w:tabs>
                <w:tab w:val="left" w:pos="284"/>
              </w:tabs>
              <w:ind w:left="205"/>
              <w:jc w:val="both"/>
              <w:rPr>
                <w:rFonts w:ascii="Times New Roman" w:hAnsi="Times New Roman" w:cs="Times New Roman"/>
              </w:rPr>
            </w:pPr>
          </w:p>
          <w:p>
            <w:pPr>
              <w:pStyle w:val="af9"/>
              <w:tabs>
                <w:tab w:val="left" w:pos="284"/>
              </w:tabs>
              <w:ind w:left="205"/>
              <w:jc w:val="both"/>
              <w:rPr>
                <w:rFonts w:ascii="Times New Roman" w:hAnsi="Times New Roman" w:cs="Times New Roman"/>
              </w:rPr>
            </w:pPr>
          </w:p>
          <w:p>
            <w:pPr>
              <w:pStyle w:val="af9"/>
              <w:tabs>
                <w:tab w:val="left" w:pos="284"/>
              </w:tabs>
              <w:ind w:left="205"/>
              <w:jc w:val="both"/>
              <w:rPr>
                <w:rFonts w:ascii="Times New Roman" w:hAnsi="Times New Roman" w:cs="Times New Roman"/>
              </w:rPr>
            </w:pPr>
          </w:p>
          <w:p>
            <w:pPr>
              <w:pStyle w:val="af9"/>
              <w:tabs>
                <w:tab w:val="left" w:pos="284"/>
              </w:tabs>
              <w:ind w:left="20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Фото № 1. Место прорыва плотины</w:t>
            </w:r>
          </w:p>
          <w:p>
            <w:pPr>
              <w:pStyle w:val="af9"/>
              <w:tabs>
                <w:tab w:val="left" w:pos="284"/>
              </w:tabs>
              <w:ind w:left="205"/>
              <w:jc w:val="both"/>
              <w:rPr>
                <w:rFonts w:ascii="Times New Roman" w:hAnsi="Times New Roman" w:cs="Times New Roman"/>
                <w:sz w:val="2"/>
                <w:szCs w:val="2"/>
              </w:rPr>
            </w:pPr>
          </w:p>
          <w:p>
            <w:pPr>
              <w:pStyle w:val="af9"/>
              <w:tabs>
                <w:tab w:val="left" w:pos="284"/>
              </w:tabs>
              <w:ind w:left="205"/>
              <w:jc w:val="both"/>
              <w:rPr>
                <w:rFonts w:ascii="Times New Roman" w:hAnsi="Times New Roman" w:cs="Times New Roman"/>
                <w:sz w:val="2"/>
                <w:szCs w:val="2"/>
              </w:rPr>
            </w:pPr>
          </w:p>
          <w:p>
            <w:pPr>
              <w:pStyle w:val="af9"/>
              <w:tabs>
                <w:tab w:val="left" w:pos="284"/>
              </w:tabs>
              <w:ind w:left="205"/>
              <w:jc w:val="both"/>
              <w:rPr>
                <w:sz w:val="20"/>
                <w:szCs w:val="20"/>
              </w:rPr>
            </w:pPr>
            <w:r>
              <w:rPr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833075" cy="2124806"/>
                      <wp:effectExtent l="0" t="0" r="0" b="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28538013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833074" cy="212480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223.08pt;height:167.31pt;mso-wrap-distance-left:0.00pt;mso-wrap-distance-top:0.00pt;mso-wrap-distance-right:0.00pt;mso-wrap-distance-bottom:0.00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</w:p>
        </w:tc>
      </w:tr>
      <w:tr>
        <w:tc>
          <w:tcPr>
            <w:tcW w:w="2451" w:type="dxa"/>
          </w:tcPr>
          <w:p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Вид аварии:</w:t>
            </w:r>
          </w:p>
        </w:tc>
        <w:tc>
          <w:tcPr>
            <w:tcW w:w="2193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Повреждение земляной плотины</w:t>
            </w:r>
          </w:p>
        </w:tc>
        <w:tc>
          <w:tcPr>
            <w:tcW w:w="4927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c>
          <w:tcPr>
            <w:tcW w:w="2451" w:type="dxa"/>
          </w:tcPr>
          <w:p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Ведомственная принадлежность:</w:t>
            </w:r>
          </w:p>
        </w:tc>
        <w:tc>
          <w:tcPr>
            <w:tcW w:w="2193" w:type="dxa"/>
          </w:tcPr>
          <w:p>
            <w:pPr>
              <w:rPr>
                <w:rFonts w:ascii="Times New Roman" w:hAnsi="Times New Roman" w:cs="Times New Roman"/>
                <w:spacing w:val="2"/>
              </w:rPr>
            </w:pPr>
            <w:r>
              <w:rPr>
                <w:rFonts w:ascii="Times New Roman" w:hAnsi="Times New Roman" w:cs="Times New Roman"/>
                <w:spacing w:val="2"/>
              </w:rPr>
              <w:t xml:space="preserve">Федеральная собственность </w:t>
            </w:r>
          </w:p>
        </w:tc>
        <w:tc>
          <w:tcPr>
            <w:tcW w:w="4927" w:type="dxa"/>
            <w:vMerge w:val="continue"/>
          </w:tcPr>
          <w:p/>
        </w:tc>
      </w:tr>
      <w:tr>
        <w:trPr>
          <w:trHeight w:val="2716"/>
        </w:trPr>
        <w:tc>
          <w:tcPr>
            <w:tcW w:w="2451" w:type="dxa"/>
            <w:tcBorders>
              <w:bottom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Место, объект аварии:</w:t>
            </w:r>
          </w:p>
        </w:tc>
        <w:tc>
          <w:tcPr>
            <w:tcW w:w="2193" w:type="dxa"/>
            <w:tcBorders>
              <w:bottom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pacing w:val="2"/>
              </w:rPr>
            </w:pPr>
            <w:r>
              <w:rPr>
                <w:rFonts w:ascii="Times New Roman" w:hAnsi="Times New Roman" w:cs="Times New Roman"/>
              </w:rPr>
              <w:t xml:space="preserve">Республика Бурятия, </w:t>
            </w:r>
            <w:r>
              <w:rPr>
                <w:rFonts w:ascii="Times New Roman" w:hAnsi="Times New Roman" w:cs="Times New Roman"/>
              </w:rPr>
              <w:t xml:space="preserve">Мухоршибирский</w:t>
            </w:r>
            <w:r>
              <w:rPr>
                <w:rFonts w:ascii="Times New Roman" w:hAnsi="Times New Roman" w:cs="Times New Roman"/>
              </w:rPr>
              <w:t xml:space="preserve"> район, близ </w:t>
            </w:r>
            <w:r>
              <w:rPr>
                <w:rFonts w:ascii="Times New Roman" w:hAnsi="Times New Roman" w:cs="Times New Roman"/>
              </w:rPr>
              <w:t xml:space="preserve">с</w:t>
            </w:r>
            <w:r>
              <w:rPr>
                <w:rFonts w:ascii="Times New Roman" w:hAnsi="Times New Roman" w:cs="Times New Roman"/>
              </w:rPr>
              <w:t xml:space="preserve">.Х</w:t>
            </w:r>
            <w:r>
              <w:rPr>
                <w:rFonts w:ascii="Times New Roman" w:hAnsi="Times New Roman" w:cs="Times New Roman"/>
              </w:rPr>
              <w:t xml:space="preserve">онхонлой</w:t>
            </w:r>
            <w:r>
              <w:rPr>
                <w:rFonts w:ascii="Times New Roman" w:hAnsi="Times New Roman" w:cs="Times New Roman"/>
              </w:rPr>
              <w:t xml:space="preserve">, кадастровый номер </w:t>
            </w:r>
            <w:r>
              <w:t xml:space="preserve">03:14:400113:10</w:t>
            </w:r>
          </w:p>
        </w:tc>
        <w:tc>
          <w:tcPr>
            <w:tcW w:w="4927" w:type="dxa"/>
            <w:vMerge w:val="continue"/>
          </w:tcPr>
          <w:p/>
        </w:tc>
      </w:tr>
      <w:tr>
        <w:trPr>
          <w:trHeight w:val="3054"/>
        </w:trPr>
        <w:tc>
          <w:tcPr>
            <w:tcW w:w="245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Наименование организации:</w:t>
            </w:r>
          </w:p>
        </w:tc>
        <w:tc>
          <w:tcPr>
            <w:tcW w:w="2193" w:type="dxa"/>
            <w:tcBorders>
              <w:top w:val="single" w:color="auto" w:sz="4" w:space="0"/>
              <w:bottom w:val="single" w:color="auto" w:sz="4" w:space="0"/>
            </w:tcBorders>
          </w:tcPr>
          <w:p>
            <w:r>
              <w:rPr>
                <w:rFonts w:ascii="Times New Roman" w:hAnsi="Times New Roman" w:cs="Times New Roman"/>
                <w:spacing w:val="2"/>
              </w:rPr>
              <w:t xml:space="preserve">Федеральное государственное бюджетное учреждение «Байкальское управление мелиорации земель и сельскохозяйственного водоснабжения» ФГБУ «Управление «</w:t>
            </w:r>
            <w:r>
              <w:rPr>
                <w:rFonts w:ascii="Times New Roman" w:hAnsi="Times New Roman" w:cs="Times New Roman"/>
                <w:spacing w:val="2"/>
              </w:rPr>
              <w:t xml:space="preserve">Бурятмелиоводхоз</w:t>
            </w:r>
            <w:r>
              <w:rPr>
                <w:rFonts w:ascii="Times New Roman" w:hAnsi="Times New Roman" w:cs="Times New Roman"/>
                <w:spacing w:val="2"/>
              </w:rPr>
              <w:t xml:space="preserve">»</w:t>
            </w:r>
          </w:p>
        </w:tc>
        <w:tc>
          <w:tcPr>
            <w:tcW w:w="4927" w:type="dxa"/>
            <w:vMerge w:val="continue"/>
          </w:tcPr>
          <w:p/>
        </w:tc>
      </w:tr>
      <w:tr>
        <w:trPr>
          <w:trHeight w:val="4167"/>
        </w:trPr>
        <w:tc>
          <w:tcPr>
            <w:tcW w:w="4644" w:type="dxa"/>
            <w:gridSpan w:val="2"/>
            <w:tcBorders>
              <w:top w:val="single" w:color="auto" w:sz="4" w:space="0"/>
            </w:tcBorders>
          </w:tcPr>
          <w:p>
            <w:pPr>
              <w:pStyle w:val="af9"/>
              <w:tabs>
                <w:tab w:val="left" w:pos="284"/>
              </w:tabs>
              <w:ind w:left="205"/>
              <w:jc w:val="both"/>
              <w:rPr>
                <w:rFonts w:ascii="Times New Roman" w:hAnsi="Times New Roman" w:cs="Times New Roman"/>
              </w:rPr>
            </w:pPr>
          </w:p>
          <w:p>
            <w:pPr>
              <w:pStyle w:val="af9"/>
              <w:tabs>
                <w:tab w:val="left" w:pos="284"/>
              </w:tabs>
              <w:ind w:left="20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Технической причиной аварии является: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>
            <w:pPr>
              <w:pStyle w:val="af9"/>
              <w:tabs>
                <w:tab w:val="left" w:pos="284"/>
              </w:tabs>
              <w:ind w:left="20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не выявлены.</w:t>
            </w:r>
          </w:p>
          <w:p>
            <w:pPr>
              <w:pStyle w:val="af9"/>
              <w:tabs>
                <w:tab w:val="left" w:pos="284"/>
              </w:tabs>
              <w:ind w:left="205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>
            <w:pPr>
              <w:pStyle w:val="af9"/>
              <w:tabs>
                <w:tab w:val="left" w:pos="284"/>
              </w:tabs>
              <w:ind w:left="205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</w:rPr>
              <w:t xml:space="preserve">Последствия аварии:</w:t>
            </w:r>
          </w:p>
          <w:p>
            <w:pPr>
              <w:pStyle w:val="af9"/>
              <w:tabs>
                <w:tab w:val="left" w:pos="284"/>
              </w:tabs>
              <w:ind w:left="205"/>
              <w:jc w:val="both"/>
            </w:pPr>
            <w:r>
              <w:rPr>
                <w:rFonts w:ascii="Times New Roman" w:hAnsi="Times New Roman" w:cs="Times New Roman"/>
              </w:rPr>
              <w:t xml:space="preserve">В ходе осмотра было обнаружено: </w:t>
            </w:r>
          </w:p>
          <w:p>
            <w:pPr>
              <w:pStyle w:val="af9"/>
              <w:tabs>
                <w:tab w:val="left" w:pos="284"/>
              </w:tabs>
              <w:ind w:left="205"/>
              <w:jc w:val="both"/>
            </w:pPr>
            <w:r>
              <w:rPr>
                <w:rFonts w:ascii="Times New Roman" w:hAnsi="Times New Roman" w:cs="Times New Roman"/>
              </w:rPr>
              <w:t xml:space="preserve">Земляная плотина – целостность нарушена, проран протяженностью примерно 100 м., на оставшейся части откоса земляной плотины со стороны верхнего бьефа не выявлены нарушения целостности (трещины, намывы, размывы отсутствуют).</w:t>
            </w:r>
            <w:r>
              <w:rPr>
                <w:rFonts w:ascii="Times New Roman" w:hAnsi="Times New Roman" w:cs="Times New Roman"/>
              </w:rPr>
              <w:t xml:space="preserve">  Со стороны нижнего бьефа правой стороны плотины от прорана наблюдается размыв откоса, в левой стороне плотины наблюдаются незначительная кустарниковая растительность, по гребню небольшие просадки (глубиной 2-3 см, диаметром по 50-60 см);</w:t>
            </w:r>
          </w:p>
          <w:p>
            <w:pPr>
              <w:pStyle w:val="af9"/>
              <w:tabs>
                <w:tab w:val="left" w:pos="284"/>
              </w:tabs>
              <w:ind w:left="205"/>
              <w:jc w:val="both"/>
            </w:pPr>
            <w:r>
              <w:rPr>
                <w:rFonts w:ascii="Times New Roman" w:hAnsi="Times New Roman" w:cs="Times New Roman"/>
              </w:rPr>
              <w:t xml:space="preserve">Паводковый водосброс - входная часть, </w:t>
            </w:r>
            <w:r>
              <w:rPr>
                <w:rFonts w:ascii="Times New Roman" w:hAnsi="Times New Roman" w:cs="Times New Roman"/>
              </w:rPr>
              <w:t xml:space="preserve">быстроточная</w:t>
            </w:r>
            <w:r>
              <w:rPr>
                <w:rFonts w:ascii="Times New Roman" w:hAnsi="Times New Roman" w:cs="Times New Roman"/>
              </w:rPr>
              <w:t xml:space="preserve"> часть в нормальном состоянии; </w:t>
            </w:r>
            <w:r>
              <w:rPr>
                <w:rFonts w:ascii="Times New Roman" w:hAnsi="Times New Roman" w:cs="Times New Roman"/>
              </w:rPr>
              <w:t xml:space="preserve">гасительная</w:t>
            </w:r>
            <w:r>
              <w:rPr>
                <w:rFonts w:ascii="Times New Roman" w:hAnsi="Times New Roman" w:cs="Times New Roman"/>
              </w:rPr>
              <w:t xml:space="preserve"> часть водосброса – разрушена (</w:t>
            </w:r>
            <w:r>
              <w:rPr>
                <w:rFonts w:ascii="Times New Roman" w:hAnsi="Times New Roman" w:cs="Times New Roman"/>
              </w:rPr>
              <w:t xml:space="preserve">дно</w:t>
            </w:r>
            <w:r>
              <w:rPr>
                <w:rFonts w:ascii="Times New Roman" w:hAnsi="Times New Roman" w:cs="Times New Roman"/>
              </w:rPr>
              <w:t xml:space="preserve"> и стенки </w:t>
            </w:r>
            <w:r>
              <w:rPr>
                <w:rFonts w:ascii="Times New Roman" w:hAnsi="Times New Roman" w:cs="Times New Roman"/>
              </w:rPr>
              <w:t xml:space="preserve">габионной</w:t>
            </w:r>
            <w:r>
              <w:rPr>
                <w:rFonts w:ascii="Times New Roman" w:hAnsi="Times New Roman" w:cs="Times New Roman"/>
              </w:rPr>
              <w:t xml:space="preserve"> сетчатой конструкции разрушены); </w:t>
            </w:r>
          </w:p>
          <w:p>
            <w:pPr>
              <w:pStyle w:val="af9"/>
              <w:tabs>
                <w:tab w:val="left" w:pos="284"/>
              </w:tabs>
              <w:ind w:left="205"/>
              <w:jc w:val="both"/>
            </w:pPr>
            <w:r>
              <w:rPr>
                <w:rFonts w:ascii="Times New Roman" w:hAnsi="Times New Roman" w:cs="Times New Roman"/>
              </w:rPr>
              <w:t xml:space="preserve">Донный </w:t>
            </w:r>
            <w:r>
              <w:rPr>
                <w:rFonts w:ascii="Times New Roman" w:hAnsi="Times New Roman" w:cs="Times New Roman"/>
              </w:rPr>
              <w:t xml:space="preserve">водовыпуск</w:t>
            </w:r>
            <w:r>
              <w:rPr>
                <w:rFonts w:ascii="Times New Roman" w:hAnsi="Times New Roman" w:cs="Times New Roman"/>
              </w:rPr>
              <w:t xml:space="preserve"> – не засорен, плоский затвор в открытом состоянии, винт ре</w:t>
            </w:r>
            <w:r>
              <w:rPr>
                <w:rFonts w:ascii="Times New Roman" w:hAnsi="Times New Roman" w:cs="Times New Roman"/>
              </w:rPr>
              <w:t xml:space="preserve">дуктора поднят более чем на 80 см, что указывает на его открытое положение во время аварии.</w:t>
            </w:r>
          </w:p>
          <w:p>
            <w:pPr>
              <w:pStyle w:val="af9"/>
              <w:tabs>
                <w:tab w:val="left" w:pos="284"/>
              </w:tabs>
              <w:ind w:left="205"/>
              <w:jc w:val="both"/>
            </w:pPr>
            <w:r>
              <w:rPr>
                <w:rFonts w:ascii="Times New Roman" w:hAnsi="Times New Roman" w:cs="Times New Roman"/>
              </w:rPr>
              <w:t xml:space="preserve">Далее ниже ГТС по течению реки </w:t>
            </w:r>
            <w:r>
              <w:rPr>
                <w:rFonts w:ascii="Times New Roman" w:hAnsi="Times New Roman" w:cs="Times New Roman"/>
              </w:rPr>
              <w:t xml:space="preserve">Хонхолойка</w:t>
            </w:r>
            <w:r>
              <w:rPr>
                <w:rFonts w:ascii="Times New Roman" w:hAnsi="Times New Roman" w:cs="Times New Roman"/>
              </w:rPr>
              <w:t xml:space="preserve"> наблюдается затопление сельскохозяйственных угодий (сенокосы) и </w:t>
            </w:r>
            <w:r>
              <w:rPr>
                <w:rFonts w:ascii="Times New Roman" w:hAnsi="Times New Roman" w:cs="Times New Roman"/>
              </w:rPr>
              <w:t xml:space="preserve">подмыв моста через р. </w:t>
            </w:r>
            <w:r>
              <w:rPr>
                <w:rFonts w:ascii="Times New Roman" w:hAnsi="Times New Roman" w:cs="Times New Roman"/>
              </w:rPr>
              <w:t xml:space="preserve">Хонхолойка</w:t>
            </w:r>
            <w:r>
              <w:rPr>
                <w:rFonts w:ascii="Times New Roman" w:hAnsi="Times New Roman" w:cs="Times New Roman"/>
              </w:rPr>
              <w:t xml:space="preserve"> на федеральной трассе.</w:t>
            </w:r>
          </w:p>
          <w:p>
            <w:pPr>
              <w:pStyle w:val="af9"/>
              <w:tabs>
                <w:tab w:val="left" w:pos="284"/>
              </w:tabs>
              <w:ind w:left="205"/>
              <w:jc w:val="both"/>
            </w:pPr>
            <w:r>
              <w:rPr>
                <w:rFonts w:ascii="Times New Roman" w:hAnsi="Times New Roman" w:cs="Times New Roman"/>
              </w:rPr>
              <w:t xml:space="preserve">По</w:t>
            </w:r>
            <w:r>
              <w:rPr>
                <w:rFonts w:ascii="Times New Roman" w:hAnsi="Times New Roman" w:cs="Times New Roman"/>
              </w:rPr>
              <w:t xml:space="preserve"> представленной информации Федерального казенного учреждения «Управление федеральных автомобильных дорог «Южный Байкал» Федерального дорожного агентства (ФКУ </w:t>
            </w:r>
            <w:r>
              <w:rPr>
                <w:rFonts w:ascii="Times New Roman" w:hAnsi="Times New Roman" w:cs="Times New Roman"/>
              </w:rPr>
              <w:t xml:space="preserve">Упрдор</w:t>
            </w:r>
            <w:r>
              <w:rPr>
                <w:rFonts w:ascii="Times New Roman" w:hAnsi="Times New Roman" w:cs="Times New Roman"/>
              </w:rPr>
              <w:t xml:space="preserve"> «Южный Байкал») от 27.08.2024 №2587/04 аварийно-восстановительные работы для обеспечения бе</w:t>
            </w:r>
            <w:r>
              <w:rPr>
                <w:rFonts w:ascii="Times New Roman" w:hAnsi="Times New Roman" w:cs="Times New Roman"/>
              </w:rPr>
              <w:t xml:space="preserve">зопасности дорожного движения (устройство объездной дороги в две полосы через </w:t>
            </w:r>
            <w:r>
              <w:rPr>
                <w:rFonts w:ascii="Times New Roman" w:hAnsi="Times New Roman" w:cs="Times New Roman"/>
              </w:rPr>
              <w:t xml:space="preserve">р</w:t>
            </w:r>
            <w:r>
              <w:rPr>
                <w:rFonts w:ascii="Times New Roman" w:hAnsi="Times New Roman" w:cs="Times New Roman"/>
              </w:rPr>
              <w:t xml:space="preserve">.Х</w:t>
            </w:r>
            <w:r>
              <w:rPr>
                <w:rFonts w:ascii="Times New Roman" w:hAnsi="Times New Roman" w:cs="Times New Roman"/>
              </w:rPr>
              <w:t xml:space="preserve">онхолойка</w:t>
            </w:r>
            <w:r>
              <w:rPr>
                <w:rFonts w:ascii="Times New Roman" w:hAnsi="Times New Roman" w:cs="Times New Roman"/>
              </w:rPr>
              <w:t xml:space="preserve">) составило 60 015,696 тыс. рублей. Общая сумма нанесенного ущерба составляет 592 015,696 тыс. руб. в ценах на 2024 г.</w:t>
            </w:r>
          </w:p>
          <w:p>
            <w:pPr>
              <w:pStyle w:val="af9"/>
              <w:tabs>
                <w:tab w:val="left" w:pos="284"/>
              </w:tabs>
              <w:ind w:left="20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представленной информации Администрации МО «</w:t>
            </w:r>
            <w:r>
              <w:rPr>
                <w:rFonts w:ascii="Times New Roman" w:hAnsi="Times New Roman" w:cs="Times New Roman"/>
              </w:rPr>
              <w:t xml:space="preserve">Мухоршибирский</w:t>
            </w:r>
            <w:r>
              <w:rPr>
                <w:rFonts w:ascii="Times New Roman" w:hAnsi="Times New Roman" w:cs="Times New Roman"/>
              </w:rPr>
              <w:t xml:space="preserve"> район» от 30.08.2024 № 2247 ущерб дорожной инфраструктуре (лесной дороге) был причинён в размере 5 077 886,76 руб. Заявок по причиненному ущербу сенокосных угодий в Администрацию МО «</w:t>
            </w:r>
            <w:r>
              <w:rPr>
                <w:rFonts w:ascii="Times New Roman" w:hAnsi="Times New Roman" w:cs="Times New Roman"/>
              </w:rPr>
              <w:t xml:space="preserve">Мухоршибирский</w:t>
            </w:r>
            <w:r>
              <w:rPr>
                <w:rFonts w:ascii="Times New Roman" w:hAnsi="Times New Roman" w:cs="Times New Roman"/>
              </w:rPr>
              <w:t xml:space="preserve"> район» не поступало.</w:t>
            </w:r>
          </w:p>
          <w:p>
            <w:pPr>
              <w:pStyle w:val="af9"/>
              <w:tabs>
                <w:tab w:val="left" w:pos="284"/>
              </w:tabs>
              <w:ind w:left="205"/>
              <w:jc w:val="both"/>
              <w:rPr>
                <w:rFonts w:ascii="Times New Roman" w:hAnsi="Times New Roman" w:cs="Times New Roman"/>
              </w:rPr>
            </w:pPr>
          </w:p>
          <w:p>
            <w:pPr>
              <w:pStyle w:val="af9"/>
              <w:tabs>
                <w:tab w:val="left" w:pos="284"/>
              </w:tabs>
              <w:ind w:left="20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Организационные причи</w:t>
            </w:r>
            <w:r>
              <w:rPr>
                <w:rFonts w:ascii="Times New Roman" w:hAnsi="Times New Roman" w:cs="Times New Roman"/>
                <w:b/>
              </w:rPr>
              <w:t xml:space="preserve">ны аварии:</w:t>
            </w:r>
          </w:p>
          <w:p>
            <w:pPr>
              <w:pStyle w:val="af9"/>
              <w:tabs>
                <w:tab w:val="left" w:pos="284"/>
              </w:tabs>
              <w:ind w:left="205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 xml:space="preserve">- не выявлены. </w:t>
            </w:r>
          </w:p>
          <w:p>
            <w:pPr>
              <w:pStyle w:val="af9"/>
              <w:tabs>
                <w:tab w:val="left" w:pos="284"/>
              </w:tabs>
              <w:ind w:left="205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>
            <w:pPr>
              <w:pStyle w:val="af9"/>
              <w:tabs>
                <w:tab w:val="left" w:pos="284"/>
              </w:tabs>
              <w:ind w:left="205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</w:rPr>
              <w:t xml:space="preserve">Прочие причины аварии:</w:t>
            </w:r>
          </w:p>
          <w:p>
            <w:pPr>
              <w:pStyle w:val="af9"/>
              <w:tabs>
                <w:tab w:val="left" w:pos="284"/>
              </w:tabs>
              <w:ind w:left="20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Согласно расчету определения объёмов поверхностных (дождевых) вод, выполненному  в соответствии с СП 33-101-2003 «Определение основных расчетных гидрологических характеристик» от 26.12.2003, определен сумм</w:t>
            </w:r>
            <w:r>
              <w:rPr>
                <w:rFonts w:ascii="Times New Roman" w:hAnsi="Times New Roman" w:cs="Times New Roman"/>
              </w:rPr>
              <w:t xml:space="preserve">арный объём поступившего дождевого паводка и стока воды р. </w:t>
            </w:r>
            <w:r>
              <w:rPr>
                <w:rFonts w:ascii="Times New Roman" w:hAnsi="Times New Roman" w:cs="Times New Roman"/>
              </w:rPr>
              <w:t xml:space="preserve">Хонхолойка</w:t>
            </w:r>
            <w:r>
              <w:rPr>
                <w:rFonts w:ascii="Times New Roman" w:hAnsi="Times New Roman" w:cs="Times New Roman"/>
              </w:rPr>
              <w:t xml:space="preserve">, который превышает в 1,6 раза проектные параметры водопропускной способности и наполнения водохранилища комплекса ГТС.</w:t>
            </w:r>
          </w:p>
          <w:p>
            <w:pPr>
              <w:pStyle w:val="af9"/>
              <w:tabs>
                <w:tab w:val="left" w:pos="284"/>
              </w:tabs>
              <w:ind w:left="20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 расчета следует:  </w:t>
            </w:r>
          </w:p>
          <w:p>
            <w:pPr>
              <w:pStyle w:val="af9"/>
              <w:tabs>
                <w:tab w:val="left" w:pos="284"/>
              </w:tabs>
              <w:ind w:left="20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расход воды пришедшей 01.08.24 = 40,95 м³/сек</w:t>
            </w:r>
            <w:r>
              <w:rPr>
                <w:rFonts w:ascii="Times New Roman" w:hAnsi="Times New Roman" w:cs="Times New Roman"/>
              </w:rPr>
              <w:t xml:space="preserve">.,</w:t>
            </w:r>
          </w:p>
          <w:p>
            <w:pPr>
              <w:pStyle w:val="af9"/>
              <w:tabs>
                <w:tab w:val="left" w:pos="284"/>
              </w:tabs>
              <w:ind w:left="20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расход воды пришедшей 02.08.24 = 43,66 м³/сек.,</w:t>
            </w:r>
          </w:p>
          <w:p>
            <w:pPr>
              <w:pStyle w:val="af9"/>
              <w:tabs>
                <w:tab w:val="left" w:pos="284"/>
              </w:tabs>
              <w:ind w:left="20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расход воды пришедшей 03.08.24 = 31,75 м³/сек.</w:t>
            </w:r>
          </w:p>
          <w:p>
            <w:pPr>
              <w:pStyle w:val="af9"/>
              <w:tabs>
                <w:tab w:val="left" w:pos="284"/>
              </w:tabs>
              <w:ind w:left="20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Максимальная пропускная способность ГТС «Открытого водосбросного сооружения автоматического действия» равна 29,6 м³/сек., а максимальная пропускная способност</w:t>
            </w:r>
            <w:r>
              <w:rPr>
                <w:rFonts w:ascii="Times New Roman" w:hAnsi="Times New Roman" w:cs="Times New Roman"/>
              </w:rPr>
              <w:t xml:space="preserve">ь ГТС «Донного трубчатого </w:t>
            </w:r>
            <w:r>
              <w:rPr>
                <w:rFonts w:ascii="Times New Roman" w:hAnsi="Times New Roman" w:cs="Times New Roman"/>
              </w:rPr>
              <w:t xml:space="preserve">водовыпуска</w:t>
            </w:r>
            <w:r>
              <w:rPr>
                <w:rFonts w:ascii="Times New Roman" w:hAnsi="Times New Roman" w:cs="Times New Roman"/>
              </w:rPr>
              <w:t xml:space="preserve"> башенного типа» </w:t>
            </w:r>
            <w:r>
              <w:rPr>
                <w:rFonts w:ascii="Times New Roman" w:hAnsi="Times New Roman" w:cs="Times New Roman"/>
              </w:rPr>
              <w:t xml:space="preserve">равна 2,68 м³/сек</w:t>
            </w:r>
            <w:r>
              <w:rPr>
                <w:rFonts w:ascii="Times New Roman" w:hAnsi="Times New Roman" w:cs="Times New Roman"/>
              </w:rPr>
              <w:t xml:space="preserve">, в сумме</w:t>
            </w: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t xml:space="preserve"> 29,6+2,68 = 32,28 м³/сек.</w:t>
            </w:r>
          </w:p>
          <w:p>
            <w:pPr>
              <w:pStyle w:val="af9"/>
              <w:tabs>
                <w:tab w:val="left" w:pos="284"/>
              </w:tabs>
              <w:ind w:left="205"/>
              <w:jc w:val="both"/>
            </w:pPr>
            <w:r>
              <w:rPr>
                <w:rFonts w:ascii="Times New Roman" w:hAnsi="Times New Roman" w:cs="Times New Roman"/>
              </w:rPr>
              <w:t xml:space="preserve">Разница между пришедшей водой и пропускной способностью сооружений: V01.08. = 40,95 - 32,28 = 8,67 м³/сек (749 088 м³/</w:t>
            </w:r>
            <w:r>
              <w:rPr>
                <w:rFonts w:ascii="Times New Roman" w:hAnsi="Times New Roman" w:cs="Times New Roman"/>
              </w:rPr>
              <w:t xml:space="preserve">сут</w:t>
            </w:r>
            <w:r>
              <w:rPr>
                <w:rFonts w:ascii="Times New Roman" w:hAnsi="Times New Roman" w:cs="Times New Roman"/>
              </w:rPr>
              <w:t xml:space="preserve">)</w:t>
            </w:r>
          </w:p>
          <w:p>
            <w:pPr>
              <w:pStyle w:val="af9"/>
              <w:tabs>
                <w:tab w:val="left" w:pos="284"/>
              </w:tabs>
              <w:ind w:left="20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V02.08. = 43,66 - 32,28 = </w:t>
            </w:r>
            <w:r>
              <w:rPr>
                <w:rFonts w:ascii="Times New Roman" w:hAnsi="Times New Roman" w:cs="Times New Roman"/>
              </w:rPr>
              <w:t xml:space="preserve">11,38  м³/сек (983 232м³/</w:t>
            </w:r>
            <w:r>
              <w:rPr>
                <w:rFonts w:ascii="Times New Roman" w:hAnsi="Times New Roman" w:cs="Times New Roman"/>
              </w:rPr>
              <w:t xml:space="preserve">сут</w:t>
            </w:r>
            <w:r>
              <w:rPr>
                <w:rFonts w:ascii="Times New Roman" w:hAnsi="Times New Roman" w:cs="Times New Roman"/>
              </w:rPr>
              <w:t xml:space="preserve">)</w:t>
            </w:r>
          </w:p>
          <w:p>
            <w:pPr>
              <w:pStyle w:val="af9"/>
              <w:tabs>
                <w:tab w:val="left" w:pos="284"/>
              </w:tabs>
              <w:ind w:left="20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Объем воды в водохранилище от уровня НПУ до уровня ФПУ составляет 439220 м³</w:t>
            </w:r>
          </w:p>
          <w:p>
            <w:pPr>
              <w:pStyle w:val="af9"/>
              <w:tabs>
                <w:tab w:val="left" w:pos="284"/>
              </w:tabs>
              <w:ind w:left="20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Разница объемов пришедшей воды и воды в </w:t>
            </w:r>
            <w:r>
              <w:rPr>
                <w:rFonts w:ascii="Times New Roman" w:hAnsi="Times New Roman" w:cs="Times New Roman"/>
              </w:rPr>
              <w:t xml:space="preserve">слое от НПУ до ФПУ составляет: </w:t>
            </w:r>
          </w:p>
          <w:p>
            <w:pPr>
              <w:pStyle w:val="af9"/>
              <w:tabs>
                <w:tab w:val="left" w:pos="284"/>
              </w:tabs>
              <w:ind w:left="20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749 088 - 439 220 = 309 868 м³/</w:t>
            </w:r>
            <w:r>
              <w:rPr>
                <w:rFonts w:ascii="Times New Roman" w:hAnsi="Times New Roman" w:cs="Times New Roman"/>
              </w:rPr>
              <w:t xml:space="preserve">сут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>
            <w:pPr>
              <w:pStyle w:val="af9"/>
              <w:tabs>
                <w:tab w:val="left" w:pos="284"/>
              </w:tabs>
              <w:ind w:left="20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983 232 - 4392 20 = 544 012 м³/</w:t>
            </w:r>
            <w:r>
              <w:rPr>
                <w:rFonts w:ascii="Times New Roman" w:hAnsi="Times New Roman" w:cs="Times New Roman"/>
              </w:rPr>
              <w:t xml:space="preserve">сут</w:t>
            </w:r>
            <w:r>
              <w:rPr>
                <w:rFonts w:ascii="Times New Roman" w:hAnsi="Times New Roman" w:cs="Times New Roman"/>
              </w:rPr>
              <w:t xml:space="preserve">, </w:t>
            </w:r>
          </w:p>
          <w:p>
            <w:pPr>
              <w:pStyle w:val="af9"/>
              <w:tabs>
                <w:tab w:val="left" w:pos="284"/>
              </w:tabs>
              <w:ind w:left="20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что п</w:t>
            </w:r>
            <w:r>
              <w:rPr>
                <w:rFonts w:ascii="Times New Roman" w:hAnsi="Times New Roman" w:cs="Times New Roman"/>
              </w:rPr>
              <w:t xml:space="preserve">ривело к переполнению емкости водохранилища и переливу воды через гребень плотины, размыванию откоса и в дальнейшем ее прорыву.</w:t>
            </w:r>
          </w:p>
          <w:p>
            <w:pPr>
              <w:pStyle w:val="af9"/>
              <w:tabs>
                <w:tab w:val="left" w:pos="284"/>
              </w:tabs>
              <w:ind w:left="205"/>
              <w:jc w:val="both"/>
            </w:pPr>
            <w:r>
              <w:rPr>
                <w:rFonts w:ascii="Times New Roman" w:hAnsi="Times New Roman" w:cs="Times New Roman"/>
              </w:rPr>
              <w:t xml:space="preserve">Прорыв плотины произошел в месте ранее существующего русла реки </w:t>
            </w:r>
            <w:r>
              <w:rPr>
                <w:rFonts w:ascii="Times New Roman" w:hAnsi="Times New Roman" w:cs="Times New Roman"/>
              </w:rPr>
              <w:t xml:space="preserve">Хонхолойка</w:t>
            </w:r>
            <w:r>
              <w:rPr>
                <w:rFonts w:ascii="Times New Roman" w:hAnsi="Times New Roman" w:cs="Times New Roman"/>
              </w:rPr>
              <w:t xml:space="preserve">, по которому был направлен напорный фронт.</w:t>
            </w:r>
          </w:p>
          <w:p>
            <w:pPr>
              <w:pStyle w:val="af9"/>
              <w:tabs>
                <w:tab w:val="left" w:pos="284"/>
              </w:tabs>
              <w:ind w:left="205"/>
              <w:jc w:val="both"/>
            </w:pPr>
            <w:r>
              <w:rPr>
                <w:rFonts w:ascii="Times New Roman" w:hAnsi="Times New Roman" w:cs="Times New Roman"/>
              </w:rPr>
              <w:t xml:space="preserve">В целом по</w:t>
            </w:r>
            <w:r>
              <w:rPr>
                <w:rFonts w:ascii="Times New Roman" w:hAnsi="Times New Roman" w:cs="Times New Roman"/>
              </w:rPr>
              <w:t xml:space="preserve"> Республике Бурятия паводковая обстановка за этот период на реках не стабильная, в </w:t>
            </w:r>
            <w:r>
              <w:rPr>
                <w:rFonts w:ascii="Times New Roman" w:hAnsi="Times New Roman" w:cs="Times New Roman"/>
              </w:rPr>
              <w:t xml:space="preserve">Мухоршибирском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Тарбагатайском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</w:rPr>
              <w:t xml:space="preserve">Заиграевском</w:t>
            </w:r>
            <w:r>
              <w:rPr>
                <w:rFonts w:ascii="Times New Roman" w:hAnsi="Times New Roman" w:cs="Times New Roman"/>
              </w:rPr>
              <w:t xml:space="preserve"> районах наблюдался подъём уровня воды в реках, подмыты участки федеральной трассы, мостов и подъезды к ним, подтоплены жилые до</w:t>
            </w:r>
            <w:r>
              <w:rPr>
                <w:rFonts w:ascii="Times New Roman" w:hAnsi="Times New Roman" w:cs="Times New Roman"/>
              </w:rPr>
              <w:t xml:space="preserve">ма и дворовые участки.  Главой РБ введен режим ЧС регионального уровня.</w:t>
            </w:r>
          </w:p>
          <w:p>
            <w:pPr>
              <w:pStyle w:val="af9"/>
              <w:tabs>
                <w:tab w:val="left" w:pos="284"/>
              </w:tabs>
              <w:ind w:left="20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Исходя из расчетов и рассмотренных материалов, причиной аварии явились обстоятельства непреодолимой силы природного характера – интенсивные осадки, предотвратить перелив через сооружен</w:t>
            </w:r>
            <w:r>
              <w:rPr>
                <w:rFonts w:ascii="Times New Roman" w:hAnsi="Times New Roman" w:cs="Times New Roman"/>
              </w:rPr>
              <w:t xml:space="preserve">ие не представлялось возможным.</w:t>
            </w:r>
          </w:p>
        </w:tc>
        <w:tc>
          <w:tcPr>
            <w:tcW w:w="4927" w:type="dxa"/>
            <w:vMerge w:val="continue"/>
          </w:tcPr>
          <w:p/>
        </w:tc>
      </w:tr>
    </w:tbl>
    <w:p/>
    <w:sectPr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 w:tplc="1EE49874">
      <w:start w:val="1"/>
      <w:numFmt w:val="decimal"/>
      <w:lvlText w:val="%1."/>
      <w:lvlJc w:val="left"/>
      <w:pPr>
        <w:ind w:left="720" w:hanging="360"/>
      </w:pPr>
      <w:rPr>
        <w:rFonts w:hint="default" w:ascii="Times New Roman" w:hAnsi="Times New Roman" w:cs="Times New Roman"/>
        <w:b w:val="0"/>
        <w:sz w:val="22"/>
        <w:szCs w:val="22"/>
      </w:rPr>
    </w:lvl>
    <w:lvl w:ilvl="1" w:tplc="43F0AA92">
      <w:start w:val="1"/>
      <w:numFmt w:val="lowerLetter"/>
      <w:lvlText w:val="%2."/>
      <w:lvlJc w:val="left"/>
      <w:pPr>
        <w:ind w:left="1440" w:hanging="360"/>
      </w:pPr>
    </w:lvl>
    <w:lvl w:ilvl="2" w:tplc="41A01126">
      <w:start w:val="1"/>
      <w:numFmt w:val="lowerRoman"/>
      <w:lvlText w:val="%3."/>
      <w:lvlJc w:val="right"/>
      <w:pPr>
        <w:ind w:left="2160" w:hanging="180"/>
      </w:pPr>
    </w:lvl>
    <w:lvl w:ilvl="3" w:tplc="27F8E1EE">
      <w:start w:val="1"/>
      <w:numFmt w:val="decimal"/>
      <w:lvlText w:val="%4."/>
      <w:lvlJc w:val="left"/>
      <w:pPr>
        <w:ind w:left="2880" w:hanging="360"/>
      </w:pPr>
    </w:lvl>
    <w:lvl w:ilvl="4" w:tplc="18EEB276">
      <w:start w:val="1"/>
      <w:numFmt w:val="lowerLetter"/>
      <w:lvlText w:val="%5."/>
      <w:lvlJc w:val="left"/>
      <w:pPr>
        <w:ind w:left="3600" w:hanging="360"/>
      </w:pPr>
    </w:lvl>
    <w:lvl w:ilvl="5" w:tplc="D8E6877C">
      <w:start w:val="1"/>
      <w:numFmt w:val="lowerRoman"/>
      <w:lvlText w:val="%6."/>
      <w:lvlJc w:val="right"/>
      <w:pPr>
        <w:ind w:left="4320" w:hanging="180"/>
      </w:pPr>
    </w:lvl>
    <w:lvl w:ilvl="6" w:tplc="1E866FD0">
      <w:start w:val="1"/>
      <w:numFmt w:val="decimal"/>
      <w:lvlText w:val="%7."/>
      <w:lvlJc w:val="left"/>
      <w:pPr>
        <w:ind w:left="5040" w:hanging="360"/>
      </w:pPr>
    </w:lvl>
    <w:lvl w:ilvl="7" w:tplc="F3E42D0C">
      <w:start w:val="1"/>
      <w:numFmt w:val="lowerLetter"/>
      <w:lvlText w:val="%8."/>
      <w:lvlJc w:val="left"/>
      <w:pPr>
        <w:ind w:left="5760" w:hanging="360"/>
      </w:pPr>
    </w:lvl>
    <w:lvl w:ilvl="8" w:tplc="B2C6DBD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 w:tplc="82FEC9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AE293E4">
      <w:start w:val="1"/>
      <w:numFmt w:val="lowerLetter"/>
      <w:lvlText w:val="%2."/>
      <w:lvlJc w:val="left"/>
      <w:pPr>
        <w:ind w:left="1440" w:hanging="360"/>
      </w:pPr>
    </w:lvl>
    <w:lvl w:ilvl="2" w:tplc="0C34714A">
      <w:start w:val="1"/>
      <w:numFmt w:val="lowerRoman"/>
      <w:lvlText w:val="%3."/>
      <w:lvlJc w:val="right"/>
      <w:pPr>
        <w:ind w:left="2160" w:hanging="180"/>
      </w:pPr>
    </w:lvl>
    <w:lvl w:ilvl="3" w:tplc="B4BE8AD2">
      <w:start w:val="1"/>
      <w:numFmt w:val="decimal"/>
      <w:lvlText w:val="%4."/>
      <w:lvlJc w:val="left"/>
      <w:pPr>
        <w:ind w:left="2880" w:hanging="360"/>
      </w:pPr>
    </w:lvl>
    <w:lvl w:ilvl="4" w:tplc="32CABC80">
      <w:start w:val="1"/>
      <w:numFmt w:val="lowerLetter"/>
      <w:lvlText w:val="%5."/>
      <w:lvlJc w:val="left"/>
      <w:pPr>
        <w:ind w:left="3600" w:hanging="360"/>
      </w:pPr>
    </w:lvl>
    <w:lvl w:ilvl="5" w:tplc="0B701D6A">
      <w:start w:val="1"/>
      <w:numFmt w:val="lowerRoman"/>
      <w:lvlText w:val="%6."/>
      <w:lvlJc w:val="right"/>
      <w:pPr>
        <w:ind w:left="4320" w:hanging="180"/>
      </w:pPr>
    </w:lvl>
    <w:lvl w:ilvl="6" w:tplc="C84224FE">
      <w:start w:val="1"/>
      <w:numFmt w:val="decimal"/>
      <w:lvlText w:val="%7."/>
      <w:lvlJc w:val="left"/>
      <w:pPr>
        <w:ind w:left="5040" w:hanging="360"/>
      </w:pPr>
    </w:lvl>
    <w:lvl w:ilvl="7" w:tplc="7834F81E">
      <w:start w:val="1"/>
      <w:numFmt w:val="lowerLetter"/>
      <w:lvlText w:val="%8."/>
      <w:lvlJc w:val="left"/>
      <w:pPr>
        <w:ind w:left="5760" w:hanging="360"/>
      </w:pPr>
    </w:lvl>
    <w:lvl w:ilvl="8" w:tplc="5CAC91C6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 w:tplc="4FF031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468FEC2">
      <w:start w:val="1"/>
      <w:numFmt w:val="lowerLetter"/>
      <w:lvlText w:val="%2."/>
      <w:lvlJc w:val="left"/>
      <w:pPr>
        <w:ind w:left="1440" w:hanging="360"/>
      </w:pPr>
    </w:lvl>
    <w:lvl w:ilvl="2" w:tplc="17348660">
      <w:start w:val="1"/>
      <w:numFmt w:val="lowerRoman"/>
      <w:lvlText w:val="%3."/>
      <w:lvlJc w:val="right"/>
      <w:pPr>
        <w:ind w:left="2160" w:hanging="180"/>
      </w:pPr>
    </w:lvl>
    <w:lvl w:ilvl="3" w:tplc="B67C3BFC">
      <w:start w:val="1"/>
      <w:numFmt w:val="decimal"/>
      <w:lvlText w:val="%4."/>
      <w:lvlJc w:val="left"/>
      <w:pPr>
        <w:ind w:left="2880" w:hanging="360"/>
      </w:pPr>
    </w:lvl>
    <w:lvl w:ilvl="4" w:tplc="A1AA6E36">
      <w:start w:val="1"/>
      <w:numFmt w:val="lowerLetter"/>
      <w:lvlText w:val="%5."/>
      <w:lvlJc w:val="left"/>
      <w:pPr>
        <w:ind w:left="3600" w:hanging="360"/>
      </w:pPr>
    </w:lvl>
    <w:lvl w:ilvl="5" w:tplc="79B6E040">
      <w:start w:val="1"/>
      <w:numFmt w:val="lowerRoman"/>
      <w:lvlText w:val="%6."/>
      <w:lvlJc w:val="right"/>
      <w:pPr>
        <w:ind w:left="4320" w:hanging="180"/>
      </w:pPr>
    </w:lvl>
    <w:lvl w:ilvl="6" w:tplc="97B6AD80">
      <w:start w:val="1"/>
      <w:numFmt w:val="decimal"/>
      <w:lvlText w:val="%7."/>
      <w:lvlJc w:val="left"/>
      <w:pPr>
        <w:ind w:left="5040" w:hanging="360"/>
      </w:pPr>
    </w:lvl>
    <w:lvl w:ilvl="7" w:tplc="A4E8D32A">
      <w:start w:val="1"/>
      <w:numFmt w:val="lowerLetter"/>
      <w:lvlText w:val="%8."/>
      <w:lvlJc w:val="left"/>
      <w:pPr>
        <w:ind w:left="5760" w:hanging="360"/>
      </w:pPr>
    </w:lvl>
    <w:lvl w:ilvl="8" w:tplc="9044F8F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hAnsi="Arial" w:eastAsia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hAnsi="Arial" w:eastAsia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hAnsi="Arial" w:eastAsia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hAnsi="Arial" w:eastAsia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hAnsi="Arial" w:eastAsia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hAnsi="Arial" w:eastAsia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a2" w:default="1">
    <w:name w:val="No List"/>
    <w:uiPriority w:val="99"/>
    <w:semiHidden/>
    <w:unhideWhenUsed/>
  </w:style>
  <w:style w:type="character" w:styleId="Heading1Char" w:customStyle="1">
    <w:name w:val="Heading 1 Char"/>
    <w:basedOn w:val="a0"/>
    <w:uiPriority w:val="9"/>
    <w:rPr>
      <w:rFonts w:ascii="Arial" w:hAnsi="Arial" w:eastAsia="Arial" w:cs="Arial"/>
      <w:sz w:val="40"/>
      <w:szCs w:val="40"/>
    </w:rPr>
  </w:style>
  <w:style w:type="character" w:styleId="Heading2Char" w:customStyle="1">
    <w:name w:val="Heading 2 Char"/>
    <w:basedOn w:val="a0"/>
    <w:uiPriority w:val="9"/>
    <w:rPr>
      <w:rFonts w:ascii="Arial" w:hAnsi="Arial" w:eastAsia="Arial" w:cs="Arial"/>
      <w:sz w:val="34"/>
    </w:rPr>
  </w:style>
  <w:style w:type="character" w:styleId="Heading3Char" w:customStyle="1">
    <w:name w:val="Heading 3 Char"/>
    <w:basedOn w:val="a0"/>
    <w:uiPriority w:val="9"/>
    <w:rPr>
      <w:rFonts w:ascii="Arial" w:hAnsi="Arial" w:eastAsia="Arial" w:cs="Arial"/>
      <w:sz w:val="30"/>
      <w:szCs w:val="30"/>
    </w:rPr>
  </w:style>
  <w:style w:type="character" w:styleId="Heading4Char" w:customStyle="1">
    <w:name w:val="Heading 4 Char"/>
    <w:basedOn w:val="a0"/>
    <w:uiPriority w:val="9"/>
    <w:rPr>
      <w:rFonts w:ascii="Arial" w:hAnsi="Arial" w:eastAsia="Arial" w:cs="Arial"/>
      <w:b/>
      <w:bCs/>
      <w:sz w:val="26"/>
      <w:szCs w:val="26"/>
    </w:rPr>
  </w:style>
  <w:style w:type="character" w:styleId="Heading5Char" w:customStyle="1">
    <w:name w:val="Heading 5 Char"/>
    <w:basedOn w:val="a0"/>
    <w:uiPriority w:val="9"/>
    <w:rPr>
      <w:rFonts w:ascii="Arial" w:hAnsi="Arial" w:eastAsia="Arial" w:cs="Arial"/>
      <w:b/>
      <w:bCs/>
      <w:sz w:val="24"/>
      <w:szCs w:val="24"/>
    </w:rPr>
  </w:style>
  <w:style w:type="character" w:styleId="Heading6Char" w:customStyle="1">
    <w:name w:val="Heading 6 Char"/>
    <w:basedOn w:val="a0"/>
    <w:uiPriority w:val="9"/>
    <w:rPr>
      <w:rFonts w:ascii="Arial" w:hAnsi="Arial" w:eastAsia="Arial" w:cs="Arial"/>
      <w:b/>
      <w:bCs/>
      <w:sz w:val="22"/>
      <w:szCs w:val="22"/>
    </w:rPr>
  </w:style>
  <w:style w:type="character" w:styleId="Heading7Char" w:customStyle="1">
    <w:name w:val="Heading 7 Char"/>
    <w:basedOn w:val="a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 w:customStyle="1">
    <w:name w:val="Heading 8 Char"/>
    <w:basedOn w:val="a0"/>
    <w:uiPriority w:val="9"/>
    <w:rPr>
      <w:rFonts w:ascii="Arial" w:hAnsi="Arial" w:eastAsia="Arial" w:cs="Arial"/>
      <w:i/>
      <w:iCs/>
      <w:sz w:val="22"/>
      <w:szCs w:val="22"/>
    </w:rPr>
  </w:style>
  <w:style w:type="character" w:styleId="Heading9Char" w:customStyle="1">
    <w:name w:val="Heading 9 Char"/>
    <w:basedOn w:val="a0"/>
    <w:uiPriority w:val="9"/>
    <w:rPr>
      <w:rFonts w:ascii="Arial" w:hAnsi="Arial" w:eastAsia="Arial" w:cs="Arial"/>
      <w:i/>
      <w:iCs/>
      <w:sz w:val="21"/>
      <w:szCs w:val="21"/>
    </w:rPr>
  </w:style>
  <w:style w:type="character" w:styleId="TitleChar" w:customStyle="1">
    <w:name w:val="Title Char"/>
    <w:basedOn w:val="a0"/>
    <w:uiPriority w:val="10"/>
    <w:rPr>
      <w:sz w:val="48"/>
      <w:szCs w:val="48"/>
    </w:rPr>
  </w:style>
  <w:style w:type="character" w:styleId="SubtitleChar" w:customStyle="1">
    <w:name w:val="Subtitle Char"/>
    <w:basedOn w:val="a0"/>
    <w:uiPriority w:val="11"/>
    <w:rPr>
      <w:sz w:val="24"/>
      <w:szCs w:val="24"/>
    </w:rPr>
  </w:style>
  <w:style w:type="character" w:styleId="QuoteChar" w:customStyle="1">
    <w:name w:val="Quote Char"/>
    <w:uiPriority w:val="29"/>
    <w:rPr>
      <w:i/>
    </w:rPr>
  </w:style>
  <w:style w:type="character" w:styleId="IntenseQuoteChar" w:customStyle="1">
    <w:name w:val="Intense Quote Char"/>
    <w:uiPriority w:val="30"/>
    <w:rPr>
      <w:i/>
    </w:rPr>
  </w:style>
  <w:style w:type="character" w:styleId="HeaderChar" w:customStyle="1">
    <w:name w:val="Header Char"/>
    <w:basedOn w:val="a0"/>
    <w:uiPriority w:val="99"/>
  </w:style>
  <w:style w:type="character" w:styleId="CaptionChar" w:customStyle="1">
    <w:name w:val="Caption Char"/>
    <w:uiPriority w:val="99"/>
  </w:style>
  <w:style w:type="character" w:styleId="FootnoteTextChar" w:customStyle="1">
    <w:name w:val="Footnote Text Char"/>
    <w:uiPriority w:val="99"/>
    <w:rPr>
      <w:sz w:val="18"/>
    </w:rPr>
  </w:style>
  <w:style w:type="character" w:styleId="EndnoteTextChar" w:customStyle="1">
    <w:name w:val="Endnote Text Char"/>
    <w:uiPriority w:val="99"/>
    <w:rPr>
      <w:sz w:val="20"/>
    </w:rPr>
  </w:style>
  <w:style w:type="character" w:styleId="10" w:customStyle="1">
    <w:name w:val="Заголовок 1 Знак"/>
    <w:basedOn w:val="a0"/>
    <w:link w:val="1"/>
    <w:uiPriority w:val="9"/>
    <w:rPr>
      <w:rFonts w:ascii="Arial" w:hAnsi="Arial" w:eastAsia="Arial" w:cs="Arial"/>
      <w:sz w:val="40"/>
      <w:szCs w:val="40"/>
    </w:rPr>
  </w:style>
  <w:style w:type="character" w:styleId="20" w:customStyle="1">
    <w:name w:val="Заголовок 2 Знак"/>
    <w:basedOn w:val="a0"/>
    <w:link w:val="2"/>
    <w:uiPriority w:val="9"/>
    <w:rPr>
      <w:rFonts w:ascii="Arial" w:hAnsi="Arial" w:eastAsia="Arial" w:cs="Arial"/>
      <w:sz w:val="34"/>
    </w:rPr>
  </w:style>
  <w:style w:type="character" w:styleId="30" w:customStyle="1">
    <w:name w:val="Заголовок 3 Знак"/>
    <w:basedOn w:val="a0"/>
    <w:link w:val="3"/>
    <w:uiPriority w:val="9"/>
    <w:rPr>
      <w:rFonts w:ascii="Arial" w:hAnsi="Arial" w:eastAsia="Arial" w:cs="Arial"/>
      <w:sz w:val="30"/>
      <w:szCs w:val="30"/>
    </w:rPr>
  </w:style>
  <w:style w:type="character" w:styleId="40" w:customStyle="1">
    <w:name w:val="Заголовок 4 Знак"/>
    <w:basedOn w:val="a0"/>
    <w:link w:val="4"/>
    <w:uiPriority w:val="9"/>
    <w:rPr>
      <w:rFonts w:ascii="Arial" w:hAnsi="Arial" w:eastAsia="Arial" w:cs="Arial"/>
      <w:b/>
      <w:bCs/>
      <w:sz w:val="26"/>
      <w:szCs w:val="26"/>
    </w:rPr>
  </w:style>
  <w:style w:type="character" w:styleId="50" w:customStyle="1">
    <w:name w:val="Заголовок 5 Знак"/>
    <w:basedOn w:val="a0"/>
    <w:link w:val="5"/>
    <w:uiPriority w:val="9"/>
    <w:rPr>
      <w:rFonts w:ascii="Arial" w:hAnsi="Arial" w:eastAsia="Arial" w:cs="Arial"/>
      <w:b/>
      <w:bCs/>
      <w:sz w:val="24"/>
      <w:szCs w:val="24"/>
    </w:rPr>
  </w:style>
  <w:style w:type="character" w:styleId="60" w:customStyle="1">
    <w:name w:val="Заголовок 6 Знак"/>
    <w:basedOn w:val="a0"/>
    <w:link w:val="6"/>
    <w:uiPriority w:val="9"/>
    <w:rPr>
      <w:rFonts w:ascii="Arial" w:hAnsi="Arial" w:eastAsia="Arial" w:cs="Arial"/>
      <w:b/>
      <w:bCs/>
      <w:sz w:val="22"/>
      <w:szCs w:val="22"/>
    </w:rPr>
  </w:style>
  <w:style w:type="character" w:styleId="70" w:customStyle="1">
    <w:name w:val="Заголовок 7 Знак"/>
    <w:basedOn w:val="a0"/>
    <w:link w:val="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0" w:customStyle="1">
    <w:name w:val="Заголовок 8 Знак"/>
    <w:basedOn w:val="a0"/>
    <w:link w:val="8"/>
    <w:uiPriority w:val="9"/>
    <w:rPr>
      <w:rFonts w:ascii="Arial" w:hAnsi="Arial" w:eastAsia="Arial" w:cs="Arial"/>
      <w:i/>
      <w:iCs/>
      <w:sz w:val="22"/>
      <w:szCs w:val="22"/>
    </w:rPr>
  </w:style>
  <w:style w:type="character" w:styleId="90" w:customStyle="1">
    <w:name w:val="Заголовок 9 Знак"/>
    <w:basedOn w:val="a0"/>
    <w:link w:val="9"/>
    <w:uiPriority w:val="9"/>
    <w:rPr>
      <w:rFonts w:ascii="Arial" w:hAnsi="Arial" w:eastAsia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styleId="a5" w:customStyle="1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styleId="a7" w:customStyle="1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styleId="22" w:customStyle="1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</w:pPr>
    <w:rPr>
      <w:i/>
    </w:rPr>
  </w:style>
  <w:style w:type="character" w:styleId="a9" w:customStyle="1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styleId="ab" w:customStyle="1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styleId="FooterChar" w:customStyle="1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styleId="ad" w:customStyle="1">
    <w:name w:val="Нижний колонтитул Знак"/>
    <w:link w:val="ac"/>
    <w:uiPriority w:val="99"/>
  </w:style>
  <w:style w:type="table" w:styleId="TableGridLight" w:customStyle="1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PlainTable1" w:customStyle="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1Horz">
      <w:tcPr>
        <w:shd w:val="clear" w:color="f2f2f2" w:themeColor="text1" w:themeTint="0D" w:fill="f2f2f2" w:themeFill="text1" w:themeFillTint="0D"/>
      </w:tcPr>
    </w:tblStylePr>
  </w:style>
  <w:style w:type="table" w:styleId="PlainTable2" w:customStyle="1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styleId="PlainTable3" w:customStyle="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</w:style>
  <w:style w:type="table" w:styleId="PlainTable4" w:customStyle="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</w:style>
  <w:style w:type="table" w:styleId="PlainTable5" w:customStyle="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i/>
        <w:color w:val="404040"/>
      </w:rPr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i/>
        <w:color w:val="404040"/>
      </w:rPr>
      <w:pPr>
        <w:jc w:val="right"/>
      </w:pPr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</w:style>
  <w:style w:type="table" w:styleId="GridTable1Light" w:customStyle="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</w:style>
  <w:style w:type="table" w:styleId="GridTable1Light-Accent1" w:customStyle="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</w:style>
  <w:style w:type="table" w:styleId="GridTable1Light-Accent2" w:customStyle="1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</w:style>
  <w:style w:type="table" w:styleId="GridTable1Light-Accent3" w:customStyle="1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</w:style>
  <w:style w:type="table" w:styleId="GridTable1Light-Accent4" w:customStyle="1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</w:style>
  <w:style w:type="table" w:styleId="GridTable1Light-Accent5" w:customStyle="1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</w:style>
  <w:style w:type="table" w:styleId="GridTable1Light-Accent6" w:customStyle="1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</w:style>
  <w:style w:type="table" w:styleId="GridTable2" w:customStyle="1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</w:style>
  <w:style w:type="table" w:styleId="GridTable2-Accent1" w:customStyle="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</w:style>
  <w:style w:type="table" w:styleId="GridTable2-Accent2" w:customStyle="1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styleId="GridTable2-Accent3" w:customStyle="1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</w:style>
  <w:style w:type="table" w:styleId="GridTable2-Accent4" w:customStyle="1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styleId="GridTable2-Accent5" w:customStyle="1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styleId="GridTable2-Accent6" w:customStyle="1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</w:style>
  <w:style w:type="table" w:styleId="GridTable3" w:customStyle="1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</w:style>
  <w:style w:type="table" w:styleId="GridTable3-Accent1" w:customStyle="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</w:style>
  <w:style w:type="table" w:styleId="GridTable3-Accent2" w:customStyle="1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styleId="GridTable3-Accent3" w:customStyle="1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</w:style>
  <w:style w:type="table" w:styleId="GridTable3-Accent4" w:customStyle="1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styleId="GridTable3-Accent5" w:customStyle="1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styleId="GridTable3-Accent6" w:customStyle="1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</w:style>
  <w:style w:type="table" w:styleId="GridTable4" w:customStyle="1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</w:style>
  <w:style w:type="table" w:styleId="GridTable4-Accent1" w:customStyle="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</w:style>
  <w:style w:type="table" w:styleId="GridTable4-Accent2" w:customStyle="1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styleId="GridTable4-Accent3" w:customStyle="1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</w:style>
  <w:style w:type="table" w:styleId="GridTable4-Accent4" w:customStyle="1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styleId="GridTable4-Accent5" w:customStyle="1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styleId="GridTable4-Accent6" w:customStyle="1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</w:style>
  <w:style w:type="table" w:styleId="GridTable5Dark" w:customStyle="1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band1Horz">
      <w:tcPr>
        <w:shd w:val="clear" w:color="8a8a8a" w:themeColor="text1" w:themeTint="75" w:fill="8a8a8a" w:themeFill="text1" w:themeFillTint="75"/>
      </w:tcPr>
    </w:tblStylePr>
  </w:style>
  <w:style w:type="table" w:styleId="GridTable5Dark-Accent1" w:customStyle="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band1Horz">
      <w:tcPr>
        <w:shd w:val="clear" w:color="aec4e0" w:themeColor="accent1" w:themeTint="75" w:fill="aec4e0" w:themeFill="accent1" w:themeFillTint="75"/>
      </w:tcPr>
    </w:tblStylePr>
  </w:style>
  <w:style w:type="table" w:styleId="GridTable5Dark-Accent2" w:customStyle="1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band1Horz">
      <w:tcPr>
        <w:shd w:val="clear" w:color="e2aead" w:themeColor="accent2" w:themeTint="75" w:fill="e2aead" w:themeFill="accent2" w:themeFillTint="75"/>
      </w:tcPr>
    </w:tblStylePr>
  </w:style>
  <w:style w:type="table" w:styleId="GridTable5Dark-Accent3" w:customStyle="1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band1Horz">
      <w:tcPr>
        <w:shd w:val="clear" w:color="d0dfb2" w:themeColor="accent3" w:themeTint="75" w:fill="d0dfb2" w:themeFill="accent3" w:themeFillTint="75"/>
      </w:tcPr>
    </w:tblStylePr>
  </w:style>
  <w:style w:type="table" w:styleId="GridTable5Dark-Accent4" w:customStyle="1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band1Horz">
      <w:tcPr>
        <w:shd w:val="clear" w:color="c4b7d4" w:themeColor="accent4" w:themeTint="75" w:fill="c4b7d4" w:themeFill="accent4" w:themeFillTint="75"/>
      </w:tcPr>
    </w:tblStylePr>
  </w:style>
  <w:style w:type="table" w:styleId="GridTable5Dark-Accent5" w:customStyle="1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band1Horz">
      <w:tcPr>
        <w:shd w:val="clear" w:color="acd8e4" w:themeColor="accent5" w:themeTint="75" w:fill="acd8e4" w:themeFill="accent5" w:themeFillTint="75"/>
      </w:tcPr>
    </w:tblStylePr>
  </w:style>
  <w:style w:type="table" w:styleId="GridTable5Dark-Accent6" w:customStyle="1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band1Horz">
      <w:tcPr>
        <w:shd w:val="clear" w:color="fbceaa" w:themeColor="accent6" w:themeTint="75" w:fill="fbceaa" w:themeFill="accent6" w:themeFillTint="75"/>
      </w:tcPr>
    </w:tblStylePr>
  </w:style>
  <w:style w:type="table" w:styleId="GridTable6Colorful" w:customStyle="1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ridTable6Colorful-Accent1" w:customStyle="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styleId="GridTable6Colorful-Accent2" w:customStyle="1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GridTable6Colorful-Accent3" w:customStyle="1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styleId="GridTable6Colorful-Accent4" w:customStyle="1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GridTable6Colorful-Accent5" w:customStyle="1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ridTable6Colorful-Accent6" w:customStyle="1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ridTable7Colorful" w:customStyle="1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tcBorders>
          <w:top w:val="none" w:color="auto" w:sz="0" w:space="0"/>
          <w:left w:val="none" w:color="auto" w:sz="0" w:space="0"/>
          <w:bottom w:val="single" w:color="7F7F7F" w:themeColor="text1" w:themeTint="80" w:sz="4" w:space="0"/>
          <w:right w:val="none" w:color="auto" w:sz="0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tcBorders>
          <w:top w:val="single" w:color="7F7F7F" w:themeColor="tex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tcBorders>
          <w:top w:val="none" w:color="auto" w:sz="0" w:space="0"/>
          <w:left w:val="single" w:color="7F7F7F" w:themeColor="text1" w:themeTint="80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ridTable7Colorful-Accent1" w:customStyle="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tcBorders>
          <w:top w:val="none" w:color="auto" w:sz="0" w:space="0"/>
          <w:left w:val="none" w:color="auto" w:sz="0" w:space="0"/>
          <w:bottom w:val="single" w:color="A6BFDD" w:themeColor="accent1" w:themeTint="80" w:sz="4" w:space="0"/>
          <w:right w:val="none" w:color="auto" w:sz="0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tcBorders>
          <w:top w:val="single" w:color="A6BFDD" w:themeColor="accen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A6BFDD" w:themeColor="accen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tcBorders>
          <w:top w:val="none" w:color="auto" w:sz="0" w:space="0"/>
          <w:left w:val="single" w:color="A6BFDD" w:themeColor="accent1" w:themeTint="80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styleId="GridTable7Colorful-Accent2" w:customStyle="1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tcBorders>
          <w:top w:val="none" w:color="auto" w:sz="0" w:space="0"/>
          <w:left w:val="none" w:color="auto" w:sz="0" w:space="0"/>
          <w:bottom w:val="single" w:color="D99695" w:themeColor="accent2" w:themeTint="97" w:sz="4" w:space="0"/>
          <w:right w:val="none" w:color="auto" w:sz="0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tcBorders>
          <w:top w:val="single" w:color="D99695" w:themeColor="accent2" w:themeTint="97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D9969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tcBorders>
          <w:top w:val="none" w:color="auto" w:sz="0" w:space="0"/>
          <w:left w:val="single" w:color="D99695" w:themeColor="accent2" w:themeTint="97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GridTable7Colorful-Accent3" w:customStyle="1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tcBorders>
          <w:top w:val="none" w:color="auto" w:sz="0" w:space="0"/>
          <w:left w:val="none" w:color="auto" w:sz="0" w:space="0"/>
          <w:bottom w:val="single" w:color="9ABB59" w:themeColor="accent3" w:themeTint="FE" w:sz="4" w:space="0"/>
          <w:right w:val="none" w:color="auto" w:sz="0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tcBorders>
          <w:top w:val="single" w:color="9ABB59" w:themeColor="accent3" w:themeTint="FE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9ABB59" w:themeColor="accent3" w:themeTint="FE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tcBorders>
          <w:top w:val="none" w:color="auto" w:sz="0" w:space="0"/>
          <w:left w:val="single" w:color="9ABB59" w:themeColor="accent3" w:themeTint="FE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styleId="GridTable7Colorful-Accent4" w:customStyle="1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tcBorders>
          <w:top w:val="none" w:color="auto" w:sz="0" w:space="0"/>
          <w:left w:val="none" w:color="auto" w:sz="0" w:space="0"/>
          <w:bottom w:val="single" w:color="B2A1C6" w:themeColor="accent4" w:themeTint="9A" w:sz="4" w:space="0"/>
          <w:right w:val="none" w:color="auto" w:sz="0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tcBorders>
          <w:top w:val="single" w:color="B2A1C6" w:themeColor="accent4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B2A1C6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tcBorders>
          <w:top w:val="none" w:color="auto" w:sz="0" w:space="0"/>
          <w:left w:val="single" w:color="B2A1C6" w:themeColor="accent4" w:themeTint="9A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GridTable7Colorful-Accent5" w:customStyle="1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cPr>
        <w:tcBorders>
          <w:top w:val="none" w:color="auto" w:sz="0" w:space="0"/>
          <w:left w:val="none" w:color="auto" w:sz="0" w:space="0"/>
          <w:bottom w:val="single" w:color="99D0DE" w:themeColor="accent5" w:themeTint="90" w:sz="4" w:space="0"/>
          <w:right w:val="none" w:color="auto" w:sz="0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tcBorders>
          <w:top w:val="single" w:color="99D0DE" w:themeColor="accent5" w:themeTint="90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99D0DE" w:themeColor="accent5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tcBorders>
          <w:top w:val="none" w:color="auto" w:sz="0" w:space="0"/>
          <w:left w:val="single" w:color="99D0DE" w:themeColor="accent5" w:themeTint="90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ridTable7Colorful-Accent6" w:customStyle="1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cPr>
        <w:tcBorders>
          <w:top w:val="none" w:color="auto" w:sz="0" w:space="0"/>
          <w:left w:val="none" w:color="auto" w:sz="0" w:space="0"/>
          <w:bottom w:val="single" w:color="FAC396" w:themeColor="accent6" w:themeTint="90" w:sz="4" w:space="0"/>
          <w:right w:val="none" w:color="auto" w:sz="0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tcBorders>
          <w:top w:val="single" w:color="FAC396" w:themeColor="accent6" w:themeTint="90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FAC396" w:themeColor="accent6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tcBorders>
          <w:top w:val="none" w:color="auto" w:sz="0" w:space="0"/>
          <w:left w:val="single" w:color="FAC396" w:themeColor="accent6" w:themeTint="90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Table1Light" w:customStyle="1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1Horz">
      <w:tcPr>
        <w:shd w:val="clear" w:color="bfbfbf" w:themeColor="text1" w:themeTint="40" w:fill="bfbfbf" w:themeFill="text1" w:themeFillTint="40"/>
      </w:tcPr>
    </w:tblStylePr>
  </w:style>
  <w:style w:type="table" w:styleId="ListTable1Light-Accent1" w:customStyle="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1Horz">
      <w:tcPr>
        <w:shd w:val="clear" w:color="d2dfee" w:themeColor="accent1" w:themeTint="40" w:fill="d2dfee" w:themeFill="accent1" w:themeFillTint="40"/>
      </w:tcPr>
    </w:tblStylePr>
  </w:style>
  <w:style w:type="table" w:styleId="ListTable1Light-Accent2" w:customStyle="1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1Horz">
      <w:tcPr>
        <w:shd w:val="clear" w:color="efd2d2" w:themeColor="accent2" w:themeTint="40" w:fill="efd2d2" w:themeFill="accent2" w:themeFillTint="40"/>
      </w:tcPr>
    </w:tblStylePr>
  </w:style>
  <w:style w:type="table" w:styleId="ListTable1Light-Accent3" w:customStyle="1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1Horz">
      <w:tcPr>
        <w:shd w:val="clear" w:color="e5eed5" w:themeColor="accent3" w:themeTint="40" w:fill="e5eed5" w:themeFill="accent3" w:themeFillTint="40"/>
      </w:tcPr>
    </w:tblStylePr>
  </w:style>
  <w:style w:type="table" w:styleId="ListTable1Light-Accent4" w:customStyle="1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1Horz">
      <w:tcPr>
        <w:shd w:val="clear" w:color="dfd8e7" w:themeColor="accent4" w:themeTint="40" w:fill="dfd8e7" w:themeFill="accent4" w:themeFillTint="40"/>
      </w:tcPr>
    </w:tblStylePr>
  </w:style>
  <w:style w:type="table" w:styleId="ListTable1Light-Accent5" w:customStyle="1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1Horz">
      <w:tcPr>
        <w:shd w:val="clear" w:color="d1eaf0" w:themeColor="accent5" w:themeTint="40" w:fill="d1eaf0" w:themeFill="accent5" w:themeFillTint="40"/>
      </w:tcPr>
    </w:tblStylePr>
  </w:style>
  <w:style w:type="table" w:styleId="ListTable1Light-Accent6" w:customStyle="1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1Horz">
      <w:tcPr>
        <w:shd w:val="clear" w:color="fde4d0" w:themeColor="accent6" w:themeTint="40" w:fill="fde4d0" w:themeFill="accent6" w:themeFillTint="40"/>
      </w:tcPr>
    </w:tblStylePr>
  </w:style>
  <w:style w:type="table" w:styleId="ListTable2" w:customStyle="1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</w:style>
  <w:style w:type="table" w:styleId="ListTable2-Accent1" w:customStyle="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</w:style>
  <w:style w:type="table" w:styleId="ListTable2-Accent2" w:customStyle="1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</w:style>
  <w:style w:type="table" w:styleId="ListTable2-Accent3" w:customStyle="1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</w:style>
  <w:style w:type="table" w:styleId="ListTable2-Accent4" w:customStyle="1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</w:style>
  <w:style w:type="table" w:styleId="ListTable2-Accent5" w:customStyle="1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</w:style>
  <w:style w:type="table" w:styleId="ListTable2-Accent6" w:customStyle="1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</w:style>
  <w:style w:type="table" w:styleId="ListTable3" w:customStyle="1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styleId="ListTable3-Accent1" w:customStyle="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</w:style>
  <w:style w:type="table" w:styleId="ListTable3-Accent2" w:customStyle="1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</w:style>
  <w:style w:type="table" w:styleId="ListTable3-Accent3" w:customStyle="1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</w:style>
  <w:style w:type="table" w:styleId="ListTable3-Accent4" w:customStyle="1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</w:style>
  <w:style w:type="table" w:styleId="ListTable3-Accent5" w:customStyle="1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</w:style>
  <w:style w:type="table" w:styleId="ListTable3-Accent6" w:customStyle="1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</w:style>
  <w:style w:type="table" w:styleId="ListTable4" w:customStyle="1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</w:style>
  <w:style w:type="table" w:styleId="ListTable4-Accent1" w:customStyle="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</w:style>
  <w:style w:type="table" w:styleId="ListTable4-Accent2" w:customStyle="1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</w:style>
  <w:style w:type="table" w:styleId="ListTable4-Accent3" w:customStyle="1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</w:style>
  <w:style w:type="table" w:styleId="ListTable4-Accent4" w:customStyle="1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</w:style>
  <w:style w:type="table" w:styleId="ListTable4-Accent5" w:customStyle="1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</w:style>
  <w:style w:type="table" w:styleId="ListTable4-Accent6" w:customStyle="1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</w:style>
  <w:style w:type="table" w:styleId="ListTable5Dark" w:customStyle="1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7F7F7F" w:themeColor="text1" w:themeTint="80" w:sz="32" w:space="0"/>
          <w:bottom w:val="single" w:color="FFFFFF" w:themeColor="light1" w:sz="12" w:space="0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</w:style>
  <w:style w:type="table" w:styleId="ListTable5Dark-Accent1" w:customStyle="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4F81BD" w:themeColor="accent1" w:sz="32" w:space="0"/>
          <w:bottom w:val="single" w:color="FFFFFF" w:themeColor="light1" w:sz="12" w:space="0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4f81bd" w:themeColor="accent1" w:fill="4f81bd" w:themeFill="accent1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f81bd" w:themeColor="accent1" w:fill="4f81bd" w:themeFill="accent1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f81bd" w:themeColor="accent1" w:fill="4f81bd" w:themeFill="accent1"/>
      </w:tcPr>
    </w:tblStylePr>
  </w:style>
  <w:style w:type="table" w:styleId="ListTable5Dark-Accent2" w:customStyle="1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D99695" w:themeColor="accent2" w:themeTint="97" w:sz="32" w:space="0"/>
          <w:bottom w:val="single" w:color="FFFFFF" w:themeColor="light1" w:sz="12" w:space="0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d99695" w:themeColor="accent2" w:themeTint="97" w:fill="d99695" w:themeFill="accent2" w:themeFillTint="97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d99695" w:themeColor="accent2" w:themeTint="97" w:fill="d99695" w:themeFill="accent2" w:themeFillTint="97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d99695" w:themeColor="accent2" w:themeTint="97" w:fill="d99695" w:themeFill="accent2" w:themeFillTint="97"/>
      </w:tcPr>
    </w:tblStylePr>
  </w:style>
  <w:style w:type="table" w:styleId="ListTable5Dark-Accent3" w:customStyle="1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C3D69B" w:themeColor="accent3" w:themeTint="98" w:sz="32" w:space="0"/>
          <w:bottom w:val="single" w:color="FFFFFF" w:themeColor="light1" w:sz="12" w:space="0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3d69b" w:themeColor="accent3" w:themeTint="98" w:fill="c3d69b" w:themeFill="accent3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3d69b" w:themeColor="accent3" w:themeTint="98" w:fill="c3d69b" w:themeFill="accent3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3d69b" w:themeColor="accent3" w:themeTint="98" w:fill="c3d69b" w:themeFill="accent3" w:themeFillTint="98"/>
      </w:tcPr>
    </w:tblStylePr>
  </w:style>
  <w:style w:type="table" w:styleId="ListTable5Dark-Accent4" w:customStyle="1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B2A1C6" w:themeColor="accent4" w:themeTint="9A" w:sz="32" w:space="0"/>
          <w:bottom w:val="single" w:color="FFFFFF" w:themeColor="light1" w:sz="12" w:space="0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b2a1c6" w:themeColor="accent4" w:themeTint="9A" w:fill="b2a1c6" w:themeFill="accent4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b2a1c6" w:themeColor="accent4" w:themeTint="9A" w:fill="b2a1c6" w:themeFill="accent4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b2a1c6" w:themeColor="accent4" w:themeTint="9A" w:fill="b2a1c6" w:themeFill="accent4" w:themeFillTint="9A"/>
      </w:tcPr>
    </w:tblStylePr>
  </w:style>
  <w:style w:type="table" w:styleId="ListTable5Dark-Accent5" w:customStyle="1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92CCDC" w:themeColor="accent5" w:themeTint="9A" w:sz="32" w:space="0"/>
          <w:bottom w:val="single" w:color="FFFFFF" w:themeColor="light1" w:sz="12" w:space="0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92ccdc" w:themeColor="accent5" w:themeTint="9A" w:fill="92ccdc" w:themeFill="accent5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2ccdc" w:themeColor="accent5" w:themeTint="9A" w:fill="92ccdc" w:themeFill="accent5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2ccdc" w:themeColor="accent5" w:themeTint="9A" w:fill="92ccdc" w:themeFill="accent5" w:themeFillTint="9A"/>
      </w:tcPr>
    </w:tblStylePr>
  </w:style>
  <w:style w:type="table" w:styleId="ListTable5Dark-Accent6" w:customStyle="1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FAC090" w:themeColor="accent6" w:themeTint="98" w:sz="32" w:space="0"/>
          <w:bottom w:val="single" w:color="FFFFFF" w:themeColor="light1" w:sz="12" w:space="0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ac090" w:themeColor="accent6" w:themeTint="98" w:fill="fac090" w:themeFill="accent6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ac090" w:themeColor="accent6" w:themeTint="98" w:fill="fac090" w:themeFill="accent6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ac090" w:themeColor="accent6" w:themeTint="98" w:fill="fac090" w:themeFill="accent6" w:themeFillTint="98"/>
      </w:tcPr>
    </w:tblStylePr>
  </w:style>
  <w:style w:type="table" w:styleId="ListTable6Colorful" w:customStyle="1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ListTable6Colorful-Accent1" w:customStyle="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4" w:space="0"/>
        <w:bottom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styleId="ListTable6Colorful-Accent2" w:customStyle="1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bottom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ListTable6Colorful-Accent3" w:customStyle="1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4" w:space="0"/>
        <w:bottom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styleId="ListTable6Colorful-Accent4" w:customStyle="1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bottom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ListTable6Colorful-Accent5" w:customStyle="1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4" w:space="0"/>
        <w:bottom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styleId="ListTable6Colorful-Accent6" w:customStyle="1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4" w:space="0"/>
        <w:bottom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Table7Colorful" w:customStyle="1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tcBorders>
          <w:top w:val="none" w:color="auto" w:sz="0" w:space="0"/>
          <w:left w:val="none" w:color="auto" w:sz="0" w:space="0"/>
          <w:bottom w:val="single" w:color="7F7F7F" w:themeColor="text1" w:themeTint="80" w:sz="4" w:space="0"/>
          <w:right w:val="none" w:color="auto" w:sz="0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tcBorders>
          <w:top w:val="single" w:color="7F7F7F" w:themeColor="tex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tcBorders>
          <w:top w:val="none" w:color="auto" w:sz="0" w:space="0"/>
          <w:left w:val="single" w:color="7F7F7F" w:themeColor="text1" w:themeTint="80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ListTable7Colorful-Accent1" w:customStyle="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cPr>
        <w:tcBorders>
          <w:top w:val="none" w:color="auto" w:sz="0" w:space="0"/>
          <w:left w:val="none" w:color="auto" w:sz="0" w:space="0"/>
          <w:bottom w:val="single" w:color="4F81BD" w:themeColor="accent1" w:sz="4" w:space="0"/>
          <w:right w:val="none" w:color="auto" w:sz="0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tcBorders>
          <w:top w:val="single" w:color="4F81BD" w:themeColor="accent1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4F81BD" w:themeColor="accent1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tcBorders>
          <w:top w:val="none" w:color="auto" w:sz="0" w:space="0"/>
          <w:left w:val="single" w:color="4F81BD" w:themeColor="accent1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styleId="ListTable7Colorful-Accent2" w:customStyle="1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tcBorders>
          <w:top w:val="none" w:color="auto" w:sz="0" w:space="0"/>
          <w:left w:val="none" w:color="auto" w:sz="0" w:space="0"/>
          <w:bottom w:val="single" w:color="D99695" w:themeColor="accent2" w:themeTint="97" w:sz="4" w:space="0"/>
          <w:right w:val="none" w:color="auto" w:sz="0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tcBorders>
          <w:top w:val="single" w:color="D99695" w:themeColor="accent2" w:themeTint="97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D9969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tcBorders>
          <w:top w:val="none" w:color="auto" w:sz="0" w:space="0"/>
          <w:left w:val="single" w:color="D99695" w:themeColor="accent2" w:themeTint="97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ListTable7Colorful-Accent3" w:customStyle="1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tcBorders>
          <w:top w:val="none" w:color="auto" w:sz="0" w:space="0"/>
          <w:left w:val="none" w:color="auto" w:sz="0" w:space="0"/>
          <w:bottom w:val="single" w:color="C3D69B" w:themeColor="accent3" w:themeTint="98" w:sz="4" w:space="0"/>
          <w:right w:val="none" w:color="auto" w:sz="0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tcBorders>
          <w:top w:val="single" w:color="C3D69B" w:themeColor="accent3" w:themeTint="98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C3D69B" w:themeColor="accent3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tcBorders>
          <w:top w:val="none" w:color="auto" w:sz="0" w:space="0"/>
          <w:left w:val="single" w:color="C3D69B" w:themeColor="accent3" w:themeTint="98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styleId="ListTable7Colorful-Accent4" w:customStyle="1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tcBorders>
          <w:top w:val="none" w:color="auto" w:sz="0" w:space="0"/>
          <w:left w:val="none" w:color="auto" w:sz="0" w:space="0"/>
          <w:bottom w:val="single" w:color="B2A1C6" w:themeColor="accent4" w:themeTint="9A" w:sz="4" w:space="0"/>
          <w:right w:val="none" w:color="auto" w:sz="0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tcBorders>
          <w:top w:val="single" w:color="B2A1C6" w:themeColor="accent4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B2A1C6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tcBorders>
          <w:top w:val="none" w:color="auto" w:sz="0" w:space="0"/>
          <w:left w:val="single" w:color="B2A1C6" w:themeColor="accent4" w:themeTint="9A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ListTable7Colorful-Accent5" w:customStyle="1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tcBorders>
          <w:top w:val="none" w:color="auto" w:sz="0" w:space="0"/>
          <w:left w:val="none" w:color="auto" w:sz="0" w:space="0"/>
          <w:bottom w:val="single" w:color="92CCDC" w:themeColor="accent5" w:themeTint="9A" w:sz="4" w:space="0"/>
          <w:right w:val="none" w:color="auto" w:sz="0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tcBorders>
          <w:top w:val="single" w:color="92CCDC" w:themeColor="accent5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92CCDC" w:themeColor="accent5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tcBorders>
          <w:top w:val="none" w:color="auto" w:sz="0" w:space="0"/>
          <w:left w:val="single" w:color="92CCDC" w:themeColor="accent5" w:themeTint="9A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styleId="ListTable7Colorful-Accent6" w:customStyle="1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tcBorders>
          <w:top w:val="none" w:color="auto" w:sz="0" w:space="0"/>
          <w:left w:val="none" w:color="auto" w:sz="0" w:space="0"/>
          <w:bottom w:val="single" w:color="FAC090" w:themeColor="accent6" w:themeTint="98" w:sz="4" w:space="0"/>
          <w:right w:val="none" w:color="auto" w:sz="0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tcBorders>
          <w:top w:val="single" w:color="FAC090" w:themeColor="accent6" w:themeTint="98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FAC090" w:themeColor="accent6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tcBorders>
          <w:top w:val="none" w:color="auto" w:sz="0" w:space="0"/>
          <w:left w:val="single" w:color="FAC090" w:themeColor="accent6" w:themeTint="98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ned-Accent" w:customStyle="1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</w:style>
  <w:style w:type="table" w:styleId="Lined-Accent1" w:customStyle="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</w:style>
  <w:style w:type="table" w:styleId="Lined-Accent2" w:customStyle="1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styleId="Lined-Accent3" w:customStyle="1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</w:style>
  <w:style w:type="table" w:styleId="Lined-Accent4" w:customStyle="1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styleId="Lined-Accent5" w:customStyle="1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styleId="Lined-Accent6" w:customStyle="1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</w:style>
  <w:style w:type="table" w:styleId="BorderedLined-Accent" w:customStyle="1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</w:style>
  <w:style w:type="table" w:styleId="BorderedLined-Accent1" w:customStyle="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</w:style>
  <w:style w:type="table" w:styleId="BorderedLined-Accent2" w:customStyle="1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styleId="BorderedLined-Accent3" w:customStyle="1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</w:style>
  <w:style w:type="table" w:styleId="BorderedLined-Accent4" w:customStyle="1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styleId="BorderedLined-Accent5" w:customStyle="1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styleId="BorderedLined-Accent6" w:customStyle="1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</w:style>
  <w:style w:type="table" w:styleId="Bordered" w:customStyle="1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</w:style>
  <w:style w:type="table" w:styleId="Bordered-Accent1" w:customStyle="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</w:style>
  <w:style w:type="table" w:styleId="Bordered-Accent2" w:customStyle="1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</w:style>
  <w:style w:type="table" w:styleId="Bordered-Accent3" w:customStyle="1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</w:style>
  <w:style w:type="table" w:styleId="Bordered-Accent4" w:customStyle="1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</w:style>
  <w:style w:type="table" w:styleId="Bordered-Accent5" w:customStyle="1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</w:style>
  <w:style w:type="table" w:styleId="Bordered-Accent6" w:customStyle="1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</w:style>
  <w:style w:type="character" w:styleId="af">
    <w:name w:val="Hyperlink"/>
    <w:uiPriority w:val="99"/>
    <w:unhideWhenUsed/>
    <w:rPr>
      <w:color w:val="0000ff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styleId="af1" w:customStyle="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styleId="af4" w:customStyle="1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table" w:styleId="af8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fb" w:customStyle="1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Р7-Офис/2024.4.2.721</Application>
  <Characters>5059</Characters>
  <CharactersWithSpaces>5935</CharactersWithSpaces>
  <Company>РТН</Company>
  <DocSecurity>0</DocSecurity>
  <HyperlinksChanged>false</HyperlinksChanged>
  <Lines>42</Lines>
  <LinksUpToDate>false</LinksUpToDate>
  <Pages>3</Pages>
  <Paragraphs>11</Paragraphs>
  <ScaleCrop>false</ScaleCrop>
  <SharedDoc>false</SharedDoc>
  <Template>Normal.dotm</Template>
  <TotalTime>8</TotalTime>
  <Words>887</Word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KKrushelnickaya</cp:lastModifiedBy>
  <cp:revision>21</cp:revision>
  <dcterms:created xsi:type="dcterms:W3CDTF">2021-06-09T12:00:00Z</dcterms:created>
  <dcterms:modified xsi:type="dcterms:W3CDTF">2025-03-12T09:42:00Z</dcterms:modified>
</cp:coreProperties>
</file>